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81196E" w:rsidRPr="0081196E" w:rsidP="0081196E">
      <w:pPr>
        <w:spacing w:after="0"/>
        <w:jc w:val="center"/>
        <w:rPr>
          <w:rFonts w:cs="Arial"/>
          <w:b/>
          <w:color w:val="000000" w:themeColor="text1"/>
        </w:rPr>
      </w:pPr>
      <w:r w:rsidRPr="0081196E">
        <w:rPr>
          <w:rFonts w:cs="Arial"/>
          <w:b/>
          <w:color w:val="000000" w:themeColor="text1"/>
        </w:rPr>
        <w:t>T</w:t>
      </w:r>
      <w:r w:rsidR="001E363C">
        <w:rPr>
          <w:rFonts w:cs="Arial"/>
          <w:b/>
          <w:color w:val="000000" w:themeColor="text1"/>
        </w:rPr>
        <w:t xml:space="preserve">ransport </w:t>
      </w:r>
      <w:r w:rsidRPr="0081196E">
        <w:rPr>
          <w:rFonts w:cs="Arial"/>
          <w:b/>
          <w:color w:val="000000" w:themeColor="text1"/>
        </w:rPr>
        <w:t>A</w:t>
      </w:r>
      <w:r w:rsidR="001E363C">
        <w:rPr>
          <w:rFonts w:cs="Arial"/>
          <w:b/>
          <w:color w:val="000000" w:themeColor="text1"/>
        </w:rPr>
        <w:t xml:space="preserve">sset </w:t>
      </w:r>
      <w:r w:rsidRPr="0081196E">
        <w:rPr>
          <w:rFonts w:cs="Arial"/>
          <w:b/>
          <w:color w:val="000000" w:themeColor="text1"/>
        </w:rPr>
        <w:t>M</w:t>
      </w:r>
      <w:r w:rsidR="001E363C">
        <w:rPr>
          <w:rFonts w:cs="Arial"/>
          <w:b/>
          <w:color w:val="000000" w:themeColor="text1"/>
        </w:rPr>
        <w:t xml:space="preserve">anagement </w:t>
      </w:r>
      <w:r w:rsidRPr="0081196E">
        <w:rPr>
          <w:rFonts w:cs="Arial"/>
          <w:b/>
          <w:color w:val="000000" w:themeColor="text1"/>
        </w:rPr>
        <w:t>P</w:t>
      </w:r>
      <w:r w:rsidR="001E363C">
        <w:rPr>
          <w:rFonts w:cs="Arial"/>
          <w:b/>
          <w:color w:val="000000" w:themeColor="text1"/>
        </w:rPr>
        <w:t>lan</w:t>
      </w:r>
      <w:r w:rsidRPr="0081196E">
        <w:rPr>
          <w:rFonts w:cs="Arial"/>
          <w:b/>
          <w:color w:val="000000" w:themeColor="text1"/>
        </w:rPr>
        <w:t xml:space="preserve"> Refresh </w:t>
      </w:r>
      <w:r>
        <w:rPr>
          <w:rFonts w:cs="Arial"/>
          <w:b/>
          <w:color w:val="000000" w:themeColor="text1"/>
        </w:rPr>
        <w:t xml:space="preserve">2018 </w:t>
      </w:r>
      <w:r w:rsidR="001E363C">
        <w:rPr>
          <w:rFonts w:cs="Arial"/>
          <w:b/>
          <w:color w:val="000000" w:themeColor="text1"/>
        </w:rPr>
        <w:t>-</w:t>
      </w:r>
      <w:r>
        <w:rPr>
          <w:rFonts w:cs="Arial"/>
          <w:b/>
          <w:color w:val="000000" w:themeColor="text1"/>
        </w:rPr>
        <w:t xml:space="preserve"> Highway Asset </w:t>
      </w:r>
      <w:r w:rsidRPr="0081196E">
        <w:rPr>
          <w:rFonts w:cs="Arial"/>
          <w:b/>
          <w:color w:val="000000" w:themeColor="text1"/>
        </w:rPr>
        <w:t>Condition 2013/14 to 2017/1</w:t>
      </w:r>
      <w:r>
        <w:rPr>
          <w:rFonts w:cs="Arial"/>
          <w:b/>
          <w:color w:val="000000" w:themeColor="text1"/>
        </w:rPr>
        <w:t>8</w:t>
      </w:r>
    </w:p>
    <w:p w:rsidR="0081196E" w:rsidRPr="0081196E" w:rsidP="0081196E">
      <w:pPr>
        <w:spacing w:after="0"/>
        <w:jc w:val="both"/>
        <w:rPr>
          <w:rFonts w:cs="Arial"/>
          <w:color w:val="000000" w:themeColor="text1"/>
          <w:sz w:val="16"/>
          <w:szCs w:val="16"/>
        </w:rPr>
      </w:pPr>
    </w:p>
    <w:p w:rsidR="0081196E" w:rsidP="0081196E">
      <w:pPr>
        <w:spacing w:after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table below sets out </w:t>
      </w:r>
      <w:bookmarkStart w:id="0" w:name="_GoBack"/>
      <w:r w:rsidRPr="001E363C">
        <w:rPr>
          <w:rFonts w:cs="Arial"/>
          <w:color w:val="000000" w:themeColor="text1"/>
        </w:rPr>
        <w:t>the</w:t>
      </w:r>
      <w:r w:rsidRPr="001E363C" w:rsidR="001E363C">
        <w:rPr>
          <w:rFonts w:cs="Arial"/>
          <w:color w:val="000000" w:themeColor="text1"/>
        </w:rPr>
        <w:t xml:space="preserve"> </w:t>
      </w:r>
      <w:r w:rsidRPr="001E363C" w:rsidR="001E363C">
        <w:rPr>
          <w:rFonts w:cs="Arial"/>
          <w:color w:val="000000" w:themeColor="text1"/>
        </w:rPr>
        <w:t>Transport Asset Management Plan</w:t>
      </w:r>
      <w:r w:rsidRPr="0081196E" w:rsidR="001E363C">
        <w:rPr>
          <w:rFonts w:cs="Arial"/>
          <w:b/>
          <w:color w:val="000000" w:themeColor="text1"/>
        </w:rPr>
        <w:t xml:space="preserve"> </w:t>
      </w:r>
      <w:bookmarkEnd w:id="0"/>
      <w:r>
        <w:rPr>
          <w:rFonts w:cs="Arial"/>
          <w:color w:val="000000" w:themeColor="text1"/>
        </w:rPr>
        <w:t>Service Standards, the 2013 baseline condition data and subsequent years condition data.</w:t>
      </w:r>
    </w:p>
    <w:p w:rsidR="0081196E" w:rsidRPr="00360FC4" w:rsidP="0081196E">
      <w:pPr>
        <w:spacing w:after="0"/>
        <w:jc w:val="both"/>
        <w:rPr>
          <w:rFonts w:cs="Arial"/>
          <w:color w:val="000000" w:themeColor="text1"/>
          <w:sz w:val="16"/>
          <w:szCs w:val="16"/>
        </w:rPr>
      </w:pPr>
    </w:p>
    <w:tbl>
      <w:tblPr>
        <w:tblStyle w:val="TableGrid"/>
        <w:tblW w:w="14230" w:type="dxa"/>
        <w:tblInd w:w="108" w:type="dxa"/>
        <w:tblLayout w:type="fixed"/>
        <w:tblLook w:val="04A0"/>
      </w:tblPr>
      <w:tblGrid>
        <w:gridCol w:w="454"/>
        <w:gridCol w:w="963"/>
        <w:gridCol w:w="1304"/>
        <w:gridCol w:w="964"/>
        <w:gridCol w:w="1587"/>
        <w:gridCol w:w="1020"/>
        <w:gridCol w:w="1020"/>
        <w:gridCol w:w="1418"/>
        <w:gridCol w:w="1077"/>
        <w:gridCol w:w="1077"/>
        <w:gridCol w:w="1077"/>
        <w:gridCol w:w="1134"/>
        <w:gridCol w:w="1135"/>
      </w:tblGrid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228"/>
        </w:trPr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Asset Category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Measure</w:t>
            </w:r>
          </w:p>
        </w:tc>
        <w:tc>
          <w:tcPr>
            <w:tcW w:w="60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Service Standard</w:t>
            </w:r>
          </w:p>
        </w:tc>
        <w:tc>
          <w:tcPr>
            <w:tcW w:w="549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Asset Condition</w:t>
            </w:r>
          </w:p>
        </w:tc>
      </w:tr>
      <w:tr w:rsidTr="0081196E">
        <w:tblPrEx>
          <w:tblW w:w="14230" w:type="dxa"/>
          <w:tblInd w:w="108" w:type="dxa"/>
          <w:tblLayout w:type="fixed"/>
          <w:tblLook w:val="04A0"/>
        </w:tblPrEx>
        <w:trPr>
          <w:trHeight w:val="228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E8614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POOR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A</w:t>
            </w:r>
            <w:r w:rsidRPr="00CD490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C000"/>
              </w:rPr>
              <w:t>CCEPTABLE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rFonts w:cs="Arial"/>
                <w:b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2013/14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2014/15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2015/16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2016/17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2017/18</w:t>
            </w:r>
          </w:p>
        </w:tc>
      </w:tr>
      <w:tr w:rsidTr="0081196E">
        <w:tblPrEx>
          <w:tblW w:w="14230" w:type="dxa"/>
          <w:tblInd w:w="108" w:type="dxa"/>
          <w:tblLayout w:type="fixed"/>
          <w:tblLook w:val="04A0"/>
        </w:tblPrEx>
        <w:trPr>
          <w:trHeight w:val="227"/>
        </w:trPr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Roads</w:t>
            </w:r>
          </w:p>
        </w:tc>
        <w:tc>
          <w:tcPr>
            <w:tcW w:w="130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96E" w:rsidRPr="008A28EE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 xml:space="preserve">% RED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 xml:space="preserve"> AMBER</w:t>
            </w: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&gt;25%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25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- 16%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- 11%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- 6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bottom"/>
          </w:tcPr>
          <w:p w:rsidR="0081196E" w:rsidRPr="00A1261F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A1261F">
              <w:rPr>
                <w:rFonts w:cs="Arial"/>
                <w:b/>
                <w:color w:val="000000" w:themeColor="text1"/>
                <w:sz w:val="22"/>
              </w:rPr>
              <w:t>≤5%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7ADB">
              <w:rPr>
                <w:b/>
                <w:color w:val="000000" w:themeColor="text1"/>
                <w:sz w:val="20"/>
                <w:szCs w:val="20"/>
              </w:rPr>
              <w:t>22.1%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67ADB">
              <w:rPr>
                <w:rFonts w:cs="Arial"/>
                <w:b/>
                <w:color w:val="FFFFFF" w:themeColor="background1"/>
                <w:sz w:val="20"/>
                <w:szCs w:val="20"/>
              </w:rPr>
              <w:t>30.37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23.92%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23.08%</w:t>
            </w:r>
            <w:r w:rsidRPr="003C446A">
              <w:rPr>
                <w:rFonts w:cs="Arial"/>
                <w:b/>
                <w:color w:val="000000" w:themeColor="text1"/>
                <w:sz w:val="18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22.29%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96E" w:rsidP="0081196E">
            <w:pPr>
              <w:spacing w:after="0" w:line="240" w:lineRule="auto"/>
              <w:jc w:val="center"/>
            </w:pPr>
            <w:r w:rsidRPr="00D25C78">
              <w:rPr>
                <w:rFonts w:cs="Arial"/>
                <w:b/>
                <w:color w:val="000000" w:themeColor="text1"/>
                <w:sz w:val="20"/>
                <w:szCs w:val="20"/>
              </w:rPr>
              <w:t>B Roads</w:t>
            </w: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1196E" w:rsidRPr="008266D5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&gt;40%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40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- 21%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- 16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- 6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bottom"/>
          </w:tcPr>
          <w:p w:rsidR="0081196E" w:rsidRPr="00A1261F" w:rsidP="0081196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261F">
              <w:rPr>
                <w:rFonts w:cs="Arial"/>
                <w:b/>
                <w:color w:val="000000" w:themeColor="text1"/>
                <w:sz w:val="22"/>
              </w:rPr>
              <w:t>≤5%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7ADB">
              <w:rPr>
                <w:b/>
                <w:color w:val="FFFFFF" w:themeColor="background1"/>
                <w:sz w:val="20"/>
                <w:szCs w:val="20"/>
              </w:rPr>
              <w:t>42.3%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36.01%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28.10%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26.27%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24.65%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196E" w:rsidP="0081196E">
            <w:pPr>
              <w:spacing w:after="0" w:line="240" w:lineRule="auto"/>
              <w:jc w:val="center"/>
            </w:pPr>
            <w:r w:rsidRPr="00D25C78">
              <w:rPr>
                <w:rFonts w:cs="Arial"/>
                <w:b/>
                <w:color w:val="000000" w:themeColor="text1"/>
                <w:sz w:val="20"/>
                <w:szCs w:val="20"/>
              </w:rPr>
              <w:t>C Roads</w:t>
            </w: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1196E" w:rsidRPr="008266D5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&gt;50%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- 31%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30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- 21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- 11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bottom"/>
          </w:tcPr>
          <w:p w:rsidR="0081196E" w:rsidRPr="00A1261F" w:rsidP="0081196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261F">
              <w:rPr>
                <w:rFonts w:cs="Arial"/>
                <w:b/>
                <w:color w:val="000000" w:themeColor="text1"/>
                <w:sz w:val="22"/>
              </w:rPr>
              <w:t>≤10%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7ADB">
              <w:rPr>
                <w:b/>
                <w:color w:val="000000" w:themeColor="text1"/>
                <w:sz w:val="20"/>
                <w:szCs w:val="20"/>
              </w:rPr>
              <w:t>48.7%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38.59%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30.62%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34.26%</w:t>
            </w:r>
            <w:r w:rsidRPr="00335143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32.04%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Residential Unclass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ified 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96E" w:rsidP="0081196E">
            <w:pPr>
              <w:spacing w:after="0" w:line="240" w:lineRule="auto"/>
              <w:jc w:val="center"/>
            </w:pPr>
            <w:r w:rsidRPr="00F57F3D">
              <w:rPr>
                <w:rFonts w:cs="Arial"/>
                <w:color w:val="000000" w:themeColor="text1"/>
                <w:sz w:val="18"/>
                <w:szCs w:val="18"/>
              </w:rPr>
              <w:t xml:space="preserve">% RED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Pr="00F57F3D">
              <w:rPr>
                <w:rFonts w:cs="Arial"/>
                <w:color w:val="000000" w:themeColor="text1"/>
                <w:sz w:val="18"/>
                <w:szCs w:val="18"/>
              </w:rPr>
              <w:t xml:space="preserve"> AMBER</w:t>
            </w: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&gt;50%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- 31%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30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- 21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- 11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A1261F" w:rsidP="0081196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261F">
              <w:rPr>
                <w:rFonts w:cs="Arial"/>
                <w:b/>
                <w:color w:val="000000" w:themeColor="text1"/>
                <w:sz w:val="22"/>
              </w:rPr>
              <w:t>≤10%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434578" w:rsidP="008119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34578">
              <w:rPr>
                <w:color w:val="000000" w:themeColor="text1"/>
                <w:sz w:val="20"/>
                <w:szCs w:val="20"/>
              </w:rPr>
              <w:t xml:space="preserve">Not </w:t>
            </w:r>
            <w:r>
              <w:rPr>
                <w:color w:val="000000" w:themeColor="text1"/>
                <w:sz w:val="20"/>
                <w:szCs w:val="20"/>
              </w:rPr>
              <w:t>Collected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P="0081196E">
            <w:pPr>
              <w:spacing w:after="0" w:line="240" w:lineRule="auto"/>
              <w:jc w:val="center"/>
            </w:pPr>
            <w:r w:rsidRPr="00496017">
              <w:rPr>
                <w:color w:val="000000" w:themeColor="text1"/>
                <w:sz w:val="20"/>
                <w:szCs w:val="20"/>
              </w:rPr>
              <w:t>Not Collecte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P="0081196E">
            <w:pPr>
              <w:spacing w:after="0" w:line="240" w:lineRule="auto"/>
              <w:jc w:val="center"/>
            </w:pPr>
            <w:r w:rsidRPr="00496017">
              <w:rPr>
                <w:color w:val="000000" w:themeColor="text1"/>
                <w:sz w:val="20"/>
                <w:szCs w:val="20"/>
              </w:rPr>
              <w:t>Not Collecte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196E" w:rsidRPr="000221C1" w:rsidP="0081196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221C1">
              <w:rPr>
                <w:color w:val="FFFFFF" w:themeColor="background1"/>
                <w:sz w:val="20"/>
                <w:szCs w:val="20"/>
              </w:rPr>
              <w:t>Collected being analysed</w:t>
            </w:r>
            <w:r w:rsidRPr="000221C1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Pr="000221C1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196E" w:rsidRPr="000221C1" w:rsidP="0081196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221C1">
              <w:rPr>
                <w:color w:val="FFFFFF" w:themeColor="background1"/>
                <w:sz w:val="20"/>
                <w:szCs w:val="20"/>
              </w:rPr>
              <w:t>Collected being analysed</w:t>
            </w:r>
            <w:r w:rsidRPr="000221C1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Rural Unclass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ified 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96E" w:rsidP="0081196E">
            <w:pPr>
              <w:spacing w:after="0" w:line="240" w:lineRule="auto"/>
              <w:jc w:val="center"/>
            </w:pPr>
            <w:r w:rsidRPr="00F57F3D">
              <w:rPr>
                <w:rFonts w:cs="Arial"/>
                <w:color w:val="000000" w:themeColor="text1"/>
                <w:sz w:val="18"/>
                <w:szCs w:val="18"/>
              </w:rPr>
              <w:t xml:space="preserve">% RED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Pr="00F57F3D">
              <w:rPr>
                <w:rFonts w:cs="Arial"/>
                <w:color w:val="000000" w:themeColor="text1"/>
                <w:sz w:val="18"/>
                <w:szCs w:val="18"/>
              </w:rPr>
              <w:t xml:space="preserve"> AMBER</w:t>
            </w: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&gt;50%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- 31%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30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- 21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- 11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A1261F" w:rsidP="0081196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261F">
              <w:rPr>
                <w:rFonts w:cs="Arial"/>
                <w:b/>
                <w:color w:val="000000" w:themeColor="text1"/>
                <w:sz w:val="22"/>
              </w:rPr>
              <w:t>≤10%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434578" w:rsidP="008119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34578">
              <w:rPr>
                <w:color w:val="000000" w:themeColor="text1"/>
                <w:sz w:val="20"/>
                <w:szCs w:val="20"/>
              </w:rPr>
              <w:t xml:space="preserve">Not </w:t>
            </w:r>
            <w:r>
              <w:rPr>
                <w:color w:val="000000" w:themeColor="text1"/>
                <w:sz w:val="20"/>
                <w:szCs w:val="20"/>
              </w:rPr>
              <w:t>Collected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P="0081196E">
            <w:pPr>
              <w:spacing w:after="0" w:line="240" w:lineRule="auto"/>
              <w:jc w:val="center"/>
            </w:pPr>
            <w:r w:rsidRPr="00496017">
              <w:rPr>
                <w:color w:val="000000" w:themeColor="text1"/>
                <w:sz w:val="20"/>
                <w:szCs w:val="20"/>
              </w:rPr>
              <w:t>Not Collecte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P="0081196E">
            <w:pPr>
              <w:spacing w:after="0" w:line="240" w:lineRule="auto"/>
              <w:jc w:val="center"/>
            </w:pPr>
            <w:r w:rsidRPr="00496017">
              <w:rPr>
                <w:color w:val="000000" w:themeColor="text1"/>
                <w:sz w:val="20"/>
                <w:szCs w:val="20"/>
              </w:rPr>
              <w:t>Not Collecte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196E" w:rsidRPr="000221C1" w:rsidP="0081196E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196E" w:rsidRPr="000221C1" w:rsidP="0081196E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Footways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96E" w:rsidRPr="008266D5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o. </w:t>
            </w: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>defects</w:t>
            </w: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5</w:t>
            </w: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4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,000-</w:t>
            </w: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&lt;1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6273E9">
              <w:rPr>
                <w:b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7ADB">
              <w:rPr>
                <w:b/>
                <w:color w:val="000000" w:themeColor="text1"/>
                <w:sz w:val="20"/>
                <w:szCs w:val="20"/>
              </w:rPr>
              <w:t>51,395</w:t>
            </w:r>
            <w:r w:rsidRPr="00B83ADF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22,171</w:t>
            </w:r>
            <w:r w:rsidRPr="00B83ADF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13,533</w:t>
            </w:r>
            <w:r w:rsidRPr="00B83ADF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13,037</w:t>
            </w:r>
            <w:r w:rsidRPr="00B83ADF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7,142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96E" w:rsidRPr="008266D5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No. claims</w:t>
            </w: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&gt;600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500-400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400-250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250-150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&lt;150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0</w:t>
            </w:r>
            <w:r w:rsidRPr="00727EF8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454"/>
        </w:trPr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Bridges and Similar Structures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96E" w:rsidRPr="008266D5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>Bridge Condition Index (Ave.)</w:t>
            </w:r>
          </w:p>
        </w:tc>
        <w:tc>
          <w:tcPr>
            <w:tcW w:w="964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&lt;40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40-60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60-79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80-90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&gt;90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7ADB">
              <w:rPr>
                <w:b/>
                <w:color w:val="000000" w:themeColor="text1"/>
                <w:sz w:val="20"/>
                <w:szCs w:val="20"/>
              </w:rPr>
              <w:t>89.3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89.99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90.19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89.75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89.67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Street Lighting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8266D5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>% of high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/ medium </w:t>
            </w: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>risk installations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&gt;35%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25-35%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20-25%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10-20%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5-10%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67ADB">
              <w:rPr>
                <w:b/>
                <w:color w:val="000000" w:themeColor="text1"/>
                <w:sz w:val="20"/>
                <w:szCs w:val="20"/>
              </w:rPr>
              <w:t>23.15%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17.72%</w:t>
            </w:r>
            <w:r w:rsidRPr="00B83ADF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19.99%</w:t>
            </w:r>
            <w:r w:rsidRPr="00B83ADF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16.15%</w:t>
            </w:r>
            <w:r w:rsidRPr="00B83ADF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15.66%</w:t>
            </w:r>
          </w:p>
        </w:tc>
      </w:tr>
      <w:tr w:rsidTr="0013385B">
        <w:tblPrEx>
          <w:tblW w:w="14230" w:type="dxa"/>
          <w:tblInd w:w="108" w:type="dxa"/>
          <w:tblLayout w:type="fixed"/>
          <w:tblLook w:val="04A0"/>
        </w:tblPrEx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265E96" w:rsidP="0081196E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65E96">
              <w:rPr>
                <w:rFonts w:cs="Arial"/>
                <w:b/>
                <w:color w:val="000000" w:themeColor="text1"/>
                <w:sz w:val="20"/>
                <w:szCs w:val="20"/>
              </w:rPr>
              <w:t>Traffic Signals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96E" w:rsidRPr="008266D5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266D5">
              <w:rPr>
                <w:rFonts w:cs="Arial"/>
                <w:color w:val="000000" w:themeColor="text1"/>
                <w:sz w:val="18"/>
                <w:szCs w:val="18"/>
              </w:rPr>
              <w:t>% of units beyond design life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273E9">
              <w:rPr>
                <w:rFonts w:cs="Arial"/>
                <w:b/>
                <w:color w:val="FFFFFF" w:themeColor="background1"/>
                <w:sz w:val="20"/>
                <w:szCs w:val="20"/>
              </w:rPr>
              <w:t>&gt;40%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30-40%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20-30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10-20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RPr="006273E9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73E9">
              <w:rPr>
                <w:b/>
                <w:color w:val="000000" w:themeColor="text1"/>
                <w:sz w:val="20"/>
                <w:szCs w:val="20"/>
              </w:rPr>
              <w:t>&lt;10%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7ADB">
              <w:rPr>
                <w:b/>
                <w:color w:val="000000" w:themeColor="text1"/>
                <w:sz w:val="20"/>
                <w:szCs w:val="20"/>
              </w:rPr>
              <w:t>33.11%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33.11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1196E" w:rsidRPr="00F67ADB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30.31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30.31</w:t>
            </w:r>
            <w:r w:rsidRPr="0013385B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96E" w:rsidP="0081196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13.83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22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1196E" w:rsidRPr="00434578" w:rsidP="00E8614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34578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13776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1196E" w:rsidRPr="00434578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Condition data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is being </w:t>
            </w: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collected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for the unclassified network </w:t>
            </w: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using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Detailed Video Survey </w:t>
            </w: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methodology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for unclassified roads.  Analysis is currently being undertaken and will be reported as part of the 2018/19 data refresh.  Provisional data shows that the unclassified road network is POOR compared to the C road network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113"/>
        </w:trPr>
        <w:tc>
          <w:tcPr>
            <w:tcW w:w="454" w:type="dxa"/>
            <w:tcBorders>
              <w:left w:val="single" w:sz="12" w:space="0" w:color="auto"/>
              <w:right w:val="nil"/>
            </w:tcBorders>
          </w:tcPr>
          <w:p w:rsidR="0081196E" w:rsidRPr="00434578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2 - </w:t>
            </w:r>
          </w:p>
        </w:tc>
        <w:tc>
          <w:tcPr>
            <w:tcW w:w="13776" w:type="dxa"/>
            <w:gridSpan w:val="12"/>
            <w:tcBorders>
              <w:left w:val="nil"/>
              <w:right w:val="single" w:sz="12" w:space="0" w:color="auto"/>
            </w:tcBorders>
          </w:tcPr>
          <w:p w:rsidR="0081196E" w:rsidRPr="00434578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Changes in defect reporting systems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for footways meant</w:t>
            </w: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 2013 data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is </w:t>
            </w: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>not comp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arable to subsequent year's data. Detailed Video Survey data for</w:t>
            </w: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footways is available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113"/>
        </w:trPr>
        <w:tc>
          <w:tcPr>
            <w:tcW w:w="454" w:type="dxa"/>
            <w:tcBorders>
              <w:left w:val="single" w:sz="12" w:space="0" w:color="auto"/>
              <w:right w:val="nil"/>
            </w:tcBorders>
          </w:tcPr>
          <w:p w:rsidR="0081196E" w:rsidRPr="00434578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3 - </w:t>
            </w:r>
          </w:p>
        </w:tc>
        <w:tc>
          <w:tcPr>
            <w:tcW w:w="13776" w:type="dxa"/>
            <w:gridSpan w:val="12"/>
            <w:tcBorders>
              <w:left w:val="nil"/>
              <w:right w:val="single" w:sz="12" w:space="0" w:color="auto"/>
            </w:tcBorders>
          </w:tcPr>
          <w:p w:rsidR="0081196E" w:rsidRPr="00727EF8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 xml:space="preserve">Data cleansing means that 2013 &amp; 2014 data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is </w:t>
            </w:r>
            <w:r w:rsidRPr="00434578">
              <w:rPr>
                <w:rFonts w:cs="Arial"/>
                <w:color w:val="000000" w:themeColor="text1"/>
                <w:sz w:val="18"/>
                <w:szCs w:val="18"/>
              </w:rPr>
              <w:t>not directly comparable with subsequent years data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for Street Lighting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113"/>
        </w:trPr>
        <w:tc>
          <w:tcPr>
            <w:tcW w:w="454" w:type="dxa"/>
            <w:tcBorders>
              <w:left w:val="single" w:sz="12" w:space="0" w:color="auto"/>
              <w:right w:val="nil"/>
            </w:tcBorders>
          </w:tcPr>
          <w:p w:rsidR="0081196E" w:rsidRPr="00434578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4 - </w:t>
            </w:r>
          </w:p>
        </w:tc>
        <w:tc>
          <w:tcPr>
            <w:tcW w:w="13776" w:type="dxa"/>
            <w:gridSpan w:val="12"/>
            <w:tcBorders>
              <w:left w:val="nil"/>
              <w:right w:val="single" w:sz="12" w:space="0" w:color="auto"/>
            </w:tcBorders>
          </w:tcPr>
          <w:p w:rsidR="0081196E" w:rsidRPr="00434578" w:rsidP="00DE00B0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Migration to HAMS means we data can no longer be split by road classification – condition assumed to remain unchanged.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113"/>
        </w:trPr>
        <w:tc>
          <w:tcPr>
            <w:tcW w:w="454" w:type="dxa"/>
            <w:tcBorders>
              <w:left w:val="single" w:sz="12" w:space="0" w:color="auto"/>
              <w:right w:val="nil"/>
            </w:tcBorders>
          </w:tcPr>
          <w:p w:rsidR="0081196E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5 - </w:t>
            </w:r>
          </w:p>
        </w:tc>
        <w:tc>
          <w:tcPr>
            <w:tcW w:w="13776" w:type="dxa"/>
            <w:gridSpan w:val="12"/>
            <w:tcBorders>
              <w:left w:val="nil"/>
              <w:right w:val="single" w:sz="12" w:space="0" w:color="auto"/>
            </w:tcBorders>
          </w:tcPr>
          <w:p w:rsidR="0081196E" w:rsidP="0013385B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There was a delay in 2016/17 in updating traffic signal inventory as efforts were focused on keeping these installations operational.</w:t>
            </w:r>
          </w:p>
        </w:tc>
      </w:tr>
      <w:tr w:rsidTr="00E86148">
        <w:tblPrEx>
          <w:tblW w:w="14230" w:type="dxa"/>
          <w:tblInd w:w="108" w:type="dxa"/>
          <w:tblLayout w:type="fixed"/>
          <w:tblLook w:val="04A0"/>
        </w:tblPrEx>
        <w:trPr>
          <w:trHeight w:val="113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1196E" w:rsidRPr="00260070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260070">
              <w:rPr>
                <w:rFonts w:cs="Arial"/>
                <w:color w:val="000000" w:themeColor="text1"/>
                <w:sz w:val="18"/>
                <w:szCs w:val="18"/>
              </w:rPr>
              <w:t xml:space="preserve">6 - </w:t>
            </w:r>
          </w:p>
        </w:tc>
        <w:tc>
          <w:tcPr>
            <w:tcW w:w="1377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1196E" w:rsidRPr="00260070" w:rsidP="0081196E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260070">
              <w:rPr>
                <w:rFonts w:cs="Arial"/>
                <w:color w:val="000000" w:themeColor="text1"/>
                <w:sz w:val="18"/>
                <w:szCs w:val="18"/>
              </w:rPr>
              <w:t xml:space="preserve">The condition of the 2016/17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'</w:t>
            </w:r>
            <w:r w:rsidRPr="00260070">
              <w:rPr>
                <w:rFonts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'</w:t>
            </w:r>
            <w:r w:rsidRPr="00260070">
              <w:rPr>
                <w:rFonts w:cs="Arial"/>
                <w:color w:val="000000" w:themeColor="text1"/>
                <w:sz w:val="18"/>
                <w:szCs w:val="18"/>
              </w:rPr>
              <w:t xml:space="preserve"> road network has been amended after minor errors were detected in the 2016/17 calculation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which did affected our overall score last year</w:t>
            </w:r>
          </w:p>
        </w:tc>
      </w:tr>
    </w:tbl>
    <w:p w:rsidR="00A93FA2"/>
    <w:sectPr w:rsidSect="00811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6E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Postlethwaite, Keith</dc:creator>
  <cp:lastModifiedBy>Gorman, Dave</cp:lastModifiedBy>
  <cp:revision>6</cp:revision>
  <dcterms:created xsi:type="dcterms:W3CDTF">2018-10-18T14:15:00Z</dcterms:created>
  <dcterms:modified xsi:type="dcterms:W3CDTF">2018-10-24T08:12:00Z</dcterms:modified>
</cp:coreProperties>
</file>